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E279A" w14:textId="34AAA7FE" w:rsidR="00B213BC" w:rsidRDefault="00B213BC" w:rsidP="00B213BC">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Norm implementation through intrinsic reinforcement</w:t>
      </w:r>
    </w:p>
    <w:p w14:paraId="52C844C6" w14:textId="3C6268E0" w:rsidR="00946A8C" w:rsidRDefault="00B20C1C" w:rsidP="00B213BC">
      <w:pPr>
        <w:widowControl w:val="0"/>
        <w:spacing w:after="0" w:line="480" w:lineRule="auto"/>
        <w:ind w:firstLine="720"/>
        <w:rPr>
          <w:rFonts w:ascii="Times New Roman" w:hAnsi="Times New Roman" w:cs="Times New Roman"/>
          <w:sz w:val="24"/>
          <w:szCs w:val="24"/>
        </w:rPr>
      </w:pPr>
      <w:bookmarkStart w:id="0" w:name="_Hlk509487768"/>
      <w:r>
        <w:rPr>
          <w:rFonts w:ascii="Times New Roman" w:hAnsi="Times New Roman" w:cs="Times New Roman"/>
          <w:sz w:val="24"/>
          <w:szCs w:val="24"/>
        </w:rPr>
        <w:t xml:space="preserve">Resolutions 1888 and 1889 deployed this week by the United Nations Security Council are imperative efforts to curb gender-based human rights violations that are too often </w:t>
      </w:r>
      <w:r w:rsidR="005C539B">
        <w:rPr>
          <w:rFonts w:ascii="Times New Roman" w:hAnsi="Times New Roman" w:cs="Times New Roman"/>
          <w:sz w:val="24"/>
          <w:szCs w:val="24"/>
        </w:rPr>
        <w:t>denounced as empty gestures. The recent resolutions have deliberately outlined the UN’s stance on gender-based violence in armed conflicts</w:t>
      </w:r>
      <w:r w:rsidR="00313AC4">
        <w:rPr>
          <w:rStyle w:val="FootnoteReference"/>
          <w:rFonts w:ascii="Times New Roman" w:hAnsi="Times New Roman" w:cs="Times New Roman"/>
          <w:sz w:val="24"/>
          <w:szCs w:val="24"/>
        </w:rPr>
        <w:footnoteReference w:id="1"/>
      </w:r>
      <w:r w:rsidR="005C539B">
        <w:rPr>
          <w:rFonts w:ascii="Times New Roman" w:hAnsi="Times New Roman" w:cs="Times New Roman"/>
          <w:sz w:val="24"/>
          <w:szCs w:val="24"/>
        </w:rPr>
        <w:t xml:space="preserve"> and the organization</w:t>
      </w:r>
      <w:r w:rsidR="00D002F9">
        <w:rPr>
          <w:rFonts w:ascii="Times New Roman" w:hAnsi="Times New Roman" w:cs="Times New Roman"/>
          <w:sz w:val="24"/>
          <w:szCs w:val="24"/>
        </w:rPr>
        <w:t>’</w:t>
      </w:r>
      <w:r w:rsidR="005C539B">
        <w:rPr>
          <w:rFonts w:ascii="Times New Roman" w:hAnsi="Times New Roman" w:cs="Times New Roman"/>
          <w:sz w:val="24"/>
          <w:szCs w:val="24"/>
        </w:rPr>
        <w:t xml:space="preserve">s intention to reduce accounts of sexual violence in wartime and post-conflict regions. </w:t>
      </w:r>
      <w:proofErr w:type="spellStart"/>
      <w:r w:rsidR="005C539B">
        <w:rPr>
          <w:rFonts w:ascii="Times New Roman" w:hAnsi="Times New Roman" w:cs="Times New Roman"/>
          <w:sz w:val="24"/>
          <w:szCs w:val="24"/>
        </w:rPr>
        <w:t>Past</w:t>
      </w:r>
      <w:proofErr w:type="spellEnd"/>
      <w:r w:rsidR="005C539B">
        <w:rPr>
          <w:rFonts w:ascii="Times New Roman" w:hAnsi="Times New Roman" w:cs="Times New Roman"/>
          <w:sz w:val="24"/>
          <w:szCs w:val="24"/>
        </w:rPr>
        <w:t xml:space="preserve"> resolutions and the monumental proposals outlined in the Geneva Conventio</w:t>
      </w:r>
      <w:r w:rsidR="00992B51">
        <w:rPr>
          <w:rFonts w:ascii="Times New Roman" w:hAnsi="Times New Roman" w:cs="Times New Roman"/>
          <w:sz w:val="24"/>
          <w:szCs w:val="24"/>
        </w:rPr>
        <w:t xml:space="preserve">n and Rome Statutes </w:t>
      </w:r>
      <w:r w:rsidR="005C539B">
        <w:rPr>
          <w:rFonts w:ascii="Times New Roman" w:hAnsi="Times New Roman" w:cs="Times New Roman"/>
          <w:sz w:val="24"/>
          <w:szCs w:val="24"/>
        </w:rPr>
        <w:t>were echoed throughout 1888 and 1889 as Secretary General Ban Ki-moon attempts to stand on the shoulders of giants in his call for more research on sexual violence in conflict ridden regions</w:t>
      </w:r>
      <w:r w:rsidR="00473B6D">
        <w:rPr>
          <w:rFonts w:ascii="Times New Roman" w:hAnsi="Times New Roman" w:cs="Times New Roman"/>
          <w:sz w:val="24"/>
          <w:szCs w:val="24"/>
        </w:rPr>
        <w:t>.</w:t>
      </w:r>
      <w:r w:rsidR="00313AC4">
        <w:rPr>
          <w:rStyle w:val="FootnoteReference"/>
          <w:rFonts w:ascii="Times New Roman" w:hAnsi="Times New Roman" w:cs="Times New Roman"/>
          <w:sz w:val="24"/>
          <w:szCs w:val="24"/>
        </w:rPr>
        <w:footnoteReference w:id="2"/>
      </w:r>
    </w:p>
    <w:p w14:paraId="5E1013BE" w14:textId="7D3EAAA1" w:rsidR="0059562C" w:rsidRDefault="00992B51" w:rsidP="00B213BC">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Prominent scholars in academia, journalists in the media, and actors on the global stage have long discredited attempts by the UN to create lasting peace around the world. The UN is under fire once again for providing empty gestures to protect individuals around the globe from sexual violence, and these claims lay with a degree of truth. The resolutions, at worst, are words on paper that attempt to dictate peace and prosperity to a nasty and brutish world suffering from countless human atrocities.</w:t>
      </w:r>
      <w:r w:rsidR="0059562C">
        <w:rPr>
          <w:rFonts w:ascii="Times New Roman" w:hAnsi="Times New Roman" w:cs="Times New Roman"/>
          <w:sz w:val="24"/>
          <w:szCs w:val="24"/>
        </w:rPr>
        <w:t xml:space="preserve"> Further, these words merely reflect the “rights identities</w:t>
      </w:r>
      <w:proofErr w:type="gramStart"/>
      <w:r w:rsidR="0059562C">
        <w:rPr>
          <w:rFonts w:ascii="Times New Roman" w:hAnsi="Times New Roman" w:cs="Times New Roman"/>
          <w:sz w:val="24"/>
          <w:szCs w:val="24"/>
        </w:rPr>
        <w:t>”</w:t>
      </w:r>
      <w:proofErr w:type="gramEnd"/>
      <w:r w:rsidR="0059562C">
        <w:rPr>
          <w:rFonts w:ascii="Times New Roman" w:hAnsi="Times New Roman" w:cs="Times New Roman"/>
          <w:sz w:val="24"/>
          <w:szCs w:val="24"/>
        </w:rPr>
        <w:t xml:space="preserve"> </w:t>
      </w:r>
      <w:r w:rsidR="00955D2A">
        <w:rPr>
          <w:rFonts w:ascii="Times New Roman" w:hAnsi="Times New Roman" w:cs="Times New Roman"/>
          <w:sz w:val="24"/>
          <w:szCs w:val="24"/>
        </w:rPr>
        <w:t xml:space="preserve">or a moral obligation </w:t>
      </w:r>
      <w:r w:rsidR="0059562C">
        <w:rPr>
          <w:rFonts w:ascii="Times New Roman" w:hAnsi="Times New Roman" w:cs="Times New Roman"/>
          <w:sz w:val="24"/>
          <w:szCs w:val="24"/>
        </w:rPr>
        <w:t>felt by the UN and northern states.</w:t>
      </w:r>
      <w:r w:rsidR="00313AC4">
        <w:rPr>
          <w:rStyle w:val="FootnoteReference"/>
          <w:rFonts w:ascii="Times New Roman" w:hAnsi="Times New Roman" w:cs="Times New Roman"/>
          <w:sz w:val="24"/>
          <w:szCs w:val="24"/>
        </w:rPr>
        <w:footnoteReference w:id="3"/>
      </w:r>
      <w:r w:rsidR="0059562C">
        <w:rPr>
          <w:rFonts w:ascii="Times New Roman" w:hAnsi="Times New Roman" w:cs="Times New Roman"/>
          <w:sz w:val="24"/>
          <w:szCs w:val="24"/>
        </w:rPr>
        <w:t xml:space="preserve"> Lastly, </w:t>
      </w:r>
      <w:r w:rsidR="00FE478A">
        <w:rPr>
          <w:rFonts w:ascii="Times New Roman" w:hAnsi="Times New Roman" w:cs="Times New Roman"/>
          <w:sz w:val="24"/>
          <w:szCs w:val="24"/>
        </w:rPr>
        <w:t>as these resolutions are translated into headlines for the general news cycle, they face the same criticisms as human rights organizations do when they emphasize “rights talk” as a means to generate attention and funding for a particular issue.</w:t>
      </w:r>
      <w:r w:rsidR="00313AC4">
        <w:rPr>
          <w:rStyle w:val="FootnoteReference"/>
          <w:rFonts w:ascii="Times New Roman" w:hAnsi="Times New Roman" w:cs="Times New Roman"/>
          <w:sz w:val="24"/>
          <w:szCs w:val="24"/>
        </w:rPr>
        <w:footnoteReference w:id="4"/>
      </w:r>
    </w:p>
    <w:p w14:paraId="26DEEB2E" w14:textId="50F527D2" w:rsidR="00832A66" w:rsidRDefault="00FE478A" w:rsidP="00B213BC">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Though such criticisms are accurate and necessary for the development of effective human rights advocacy, these criticism</w:t>
      </w:r>
      <w:r w:rsidR="00955D2A">
        <w:rPr>
          <w:rFonts w:ascii="Times New Roman" w:hAnsi="Times New Roman" w:cs="Times New Roman"/>
          <w:sz w:val="24"/>
          <w:szCs w:val="24"/>
        </w:rPr>
        <w:t>s</w:t>
      </w:r>
      <w:r>
        <w:rPr>
          <w:rFonts w:ascii="Times New Roman" w:hAnsi="Times New Roman" w:cs="Times New Roman"/>
          <w:sz w:val="24"/>
          <w:szCs w:val="24"/>
        </w:rPr>
        <w:t xml:space="preserve"> gloss over the </w:t>
      </w:r>
      <w:r w:rsidR="00832A66">
        <w:rPr>
          <w:rFonts w:ascii="Times New Roman" w:hAnsi="Times New Roman" w:cs="Times New Roman"/>
          <w:sz w:val="24"/>
          <w:szCs w:val="24"/>
        </w:rPr>
        <w:t xml:space="preserve">importance of the 1888 and 1889 resolutions and the broader implications for human rights advocacy in armed conflict. These resolutions do a great deal to set the stage for “naming and shaming,” an important tactic in human rights that </w:t>
      </w:r>
      <w:r w:rsidR="00B36BEF">
        <w:rPr>
          <w:rFonts w:ascii="Times New Roman" w:hAnsi="Times New Roman" w:cs="Times New Roman"/>
          <w:sz w:val="24"/>
          <w:szCs w:val="24"/>
        </w:rPr>
        <w:t xml:space="preserve">publicly </w:t>
      </w:r>
      <w:r w:rsidR="00832A66">
        <w:rPr>
          <w:rFonts w:ascii="Times New Roman" w:hAnsi="Times New Roman" w:cs="Times New Roman"/>
          <w:sz w:val="24"/>
          <w:szCs w:val="24"/>
        </w:rPr>
        <w:t>denounces wrong doings and simultaneously prevents future offenses, treaty writing, and other important legislative efforts.</w:t>
      </w:r>
      <w:r w:rsidR="00EB61FB">
        <w:rPr>
          <w:rStyle w:val="FootnoteReference"/>
          <w:rFonts w:ascii="Times New Roman" w:hAnsi="Times New Roman" w:cs="Times New Roman"/>
          <w:sz w:val="24"/>
          <w:szCs w:val="24"/>
        </w:rPr>
        <w:footnoteReference w:id="5"/>
      </w:r>
      <w:r w:rsidR="00832A66">
        <w:rPr>
          <w:rFonts w:ascii="Times New Roman" w:hAnsi="Times New Roman" w:cs="Times New Roman"/>
          <w:sz w:val="24"/>
          <w:szCs w:val="24"/>
        </w:rPr>
        <w:t xml:space="preserve"> For instance, </w:t>
      </w:r>
      <w:r w:rsidR="00955D2A">
        <w:rPr>
          <w:rFonts w:ascii="Times New Roman" w:hAnsi="Times New Roman" w:cs="Times New Roman"/>
          <w:sz w:val="24"/>
          <w:szCs w:val="24"/>
        </w:rPr>
        <w:t>R</w:t>
      </w:r>
      <w:r w:rsidR="00832A66">
        <w:rPr>
          <w:rFonts w:ascii="Times New Roman" w:hAnsi="Times New Roman" w:cs="Times New Roman"/>
          <w:sz w:val="24"/>
          <w:szCs w:val="24"/>
        </w:rPr>
        <w:t xml:space="preserve">esolution 1889 called for collaboration between </w:t>
      </w:r>
      <w:r w:rsidR="00832A66" w:rsidRPr="00832A66">
        <w:rPr>
          <w:rFonts w:ascii="Times New Roman" w:hAnsi="Times New Roman" w:cs="Times New Roman"/>
          <w:sz w:val="24"/>
          <w:szCs w:val="24"/>
        </w:rPr>
        <w:t xml:space="preserve">Special Representative of the Secretary-General on Children and Armed Conflict and the Special Representative on </w:t>
      </w:r>
      <w:r w:rsidR="00955D2A">
        <w:rPr>
          <w:rFonts w:ascii="Times New Roman" w:hAnsi="Times New Roman" w:cs="Times New Roman"/>
          <w:sz w:val="24"/>
          <w:szCs w:val="24"/>
        </w:rPr>
        <w:t>S</w:t>
      </w:r>
      <w:r w:rsidR="00832A66" w:rsidRPr="00832A66">
        <w:rPr>
          <w:rFonts w:ascii="Times New Roman" w:hAnsi="Times New Roman" w:cs="Times New Roman"/>
          <w:sz w:val="24"/>
          <w:szCs w:val="24"/>
        </w:rPr>
        <w:t xml:space="preserve">exual </w:t>
      </w:r>
      <w:r w:rsidR="00955D2A">
        <w:rPr>
          <w:rFonts w:ascii="Times New Roman" w:hAnsi="Times New Roman" w:cs="Times New Roman"/>
          <w:sz w:val="24"/>
          <w:szCs w:val="24"/>
        </w:rPr>
        <w:t>V</w:t>
      </w:r>
      <w:r w:rsidR="00832A66" w:rsidRPr="00832A66">
        <w:rPr>
          <w:rFonts w:ascii="Times New Roman" w:hAnsi="Times New Roman" w:cs="Times New Roman"/>
          <w:sz w:val="24"/>
          <w:szCs w:val="24"/>
        </w:rPr>
        <w:t>iolence in</w:t>
      </w:r>
      <w:r w:rsidR="00955D2A">
        <w:rPr>
          <w:rFonts w:ascii="Times New Roman" w:hAnsi="Times New Roman" w:cs="Times New Roman"/>
          <w:sz w:val="24"/>
          <w:szCs w:val="24"/>
        </w:rPr>
        <w:t xml:space="preserve"> A</w:t>
      </w:r>
      <w:r w:rsidR="00832A66" w:rsidRPr="00832A66">
        <w:rPr>
          <w:rFonts w:ascii="Times New Roman" w:hAnsi="Times New Roman" w:cs="Times New Roman"/>
          <w:sz w:val="24"/>
          <w:szCs w:val="24"/>
        </w:rPr>
        <w:t xml:space="preserve">rmed </w:t>
      </w:r>
      <w:r w:rsidR="00955D2A">
        <w:rPr>
          <w:rFonts w:ascii="Times New Roman" w:hAnsi="Times New Roman" w:cs="Times New Roman"/>
          <w:sz w:val="24"/>
          <w:szCs w:val="24"/>
        </w:rPr>
        <w:t>C</w:t>
      </w:r>
      <w:r w:rsidR="00832A66" w:rsidRPr="00832A66">
        <w:rPr>
          <w:rFonts w:ascii="Times New Roman" w:hAnsi="Times New Roman" w:cs="Times New Roman"/>
          <w:sz w:val="24"/>
          <w:szCs w:val="24"/>
        </w:rPr>
        <w:t>onflict</w:t>
      </w:r>
      <w:r w:rsidR="005E40C4">
        <w:rPr>
          <w:rFonts w:ascii="Times New Roman" w:hAnsi="Times New Roman" w:cs="Times New Roman"/>
          <w:sz w:val="24"/>
          <w:szCs w:val="24"/>
        </w:rPr>
        <w:t>, and requested that organizations, agencies within the UN,</w:t>
      </w:r>
      <w:r w:rsidR="00B36BEF">
        <w:rPr>
          <w:rFonts w:ascii="Times New Roman" w:hAnsi="Times New Roman" w:cs="Times New Roman"/>
          <w:sz w:val="24"/>
          <w:szCs w:val="24"/>
        </w:rPr>
        <w:t xml:space="preserve"> and</w:t>
      </w:r>
      <w:r w:rsidR="005E40C4">
        <w:rPr>
          <w:rFonts w:ascii="Times New Roman" w:hAnsi="Times New Roman" w:cs="Times New Roman"/>
          <w:sz w:val="24"/>
          <w:szCs w:val="24"/>
        </w:rPr>
        <w:t xml:space="preserve"> legislators work to include the needs of women in their </w:t>
      </w:r>
      <w:r w:rsidR="005E40C4" w:rsidRPr="005E40C4">
        <w:rPr>
          <w:rFonts w:ascii="Times New Roman" w:hAnsi="Times New Roman" w:cs="Times New Roman"/>
          <w:sz w:val="24"/>
          <w:szCs w:val="24"/>
        </w:rPr>
        <w:t>disarmament, demobilization and integration programs</w:t>
      </w:r>
      <w:r w:rsidR="005E40C4">
        <w:rPr>
          <w:rFonts w:ascii="Times New Roman" w:hAnsi="Times New Roman" w:cs="Times New Roman"/>
          <w:sz w:val="24"/>
          <w:szCs w:val="24"/>
        </w:rPr>
        <w:t xml:space="preserve">. </w:t>
      </w:r>
    </w:p>
    <w:p w14:paraId="6C7D4621" w14:textId="34F37C9F" w:rsidR="00B22612" w:rsidRDefault="005E40C4" w:rsidP="00B213BC">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are platforms on which treaties and links between foreign aid and human rights performance can be built. What is more, this type of human rights advocacy </w:t>
      </w:r>
      <w:r w:rsidR="00832A66">
        <w:rPr>
          <w:rFonts w:ascii="Times New Roman" w:hAnsi="Times New Roman" w:cs="Times New Roman"/>
          <w:sz w:val="24"/>
          <w:szCs w:val="24"/>
        </w:rPr>
        <w:t>provide</w:t>
      </w:r>
      <w:r>
        <w:rPr>
          <w:rFonts w:ascii="Times New Roman" w:hAnsi="Times New Roman" w:cs="Times New Roman"/>
          <w:sz w:val="24"/>
          <w:szCs w:val="24"/>
        </w:rPr>
        <w:t xml:space="preserve">s </w:t>
      </w:r>
      <w:r w:rsidR="00832A66">
        <w:rPr>
          <w:rFonts w:ascii="Times New Roman" w:hAnsi="Times New Roman" w:cs="Times New Roman"/>
          <w:sz w:val="24"/>
          <w:szCs w:val="24"/>
        </w:rPr>
        <w:t>essential discursive</w:t>
      </w:r>
      <w:r>
        <w:rPr>
          <w:rFonts w:ascii="Times New Roman" w:hAnsi="Times New Roman" w:cs="Times New Roman"/>
          <w:sz w:val="24"/>
          <w:szCs w:val="24"/>
        </w:rPr>
        <w:t xml:space="preserve"> proliferation</w:t>
      </w:r>
      <w:r w:rsidR="00832A66">
        <w:rPr>
          <w:rFonts w:ascii="Times New Roman" w:hAnsi="Times New Roman" w:cs="Times New Roman"/>
          <w:sz w:val="24"/>
          <w:szCs w:val="24"/>
        </w:rPr>
        <w:t xml:space="preserve"> </w:t>
      </w:r>
      <w:r>
        <w:rPr>
          <w:rFonts w:ascii="Times New Roman" w:hAnsi="Times New Roman" w:cs="Times New Roman"/>
          <w:sz w:val="24"/>
          <w:szCs w:val="24"/>
        </w:rPr>
        <w:t>and norm creation. Critics often accuse discourse and norm creation of having little, if any effect at all, on curbing human rights atrocities.</w:t>
      </w:r>
      <w:r w:rsidR="002F7A9D">
        <w:rPr>
          <w:rFonts w:ascii="Times New Roman" w:hAnsi="Times New Roman" w:cs="Times New Roman"/>
          <w:sz w:val="24"/>
          <w:szCs w:val="24"/>
        </w:rPr>
        <w:t xml:space="preserve"> </w:t>
      </w:r>
      <w:r w:rsidR="001337FF">
        <w:rPr>
          <w:rFonts w:ascii="Times New Roman" w:hAnsi="Times New Roman" w:cs="Times New Roman"/>
          <w:sz w:val="24"/>
          <w:szCs w:val="24"/>
        </w:rPr>
        <w:t>These criti</w:t>
      </w:r>
      <w:r w:rsidR="0063725D">
        <w:rPr>
          <w:rFonts w:ascii="Times New Roman" w:hAnsi="Times New Roman" w:cs="Times New Roman"/>
          <w:sz w:val="24"/>
          <w:szCs w:val="24"/>
        </w:rPr>
        <w:t>ques</w:t>
      </w:r>
      <w:r w:rsidR="001337FF">
        <w:rPr>
          <w:rFonts w:ascii="Times New Roman" w:hAnsi="Times New Roman" w:cs="Times New Roman"/>
          <w:sz w:val="24"/>
          <w:szCs w:val="24"/>
        </w:rPr>
        <w:t xml:space="preserve">, however, fail to take into consideration the importance of establishing international norms. Norms act as the pillars on which international law stands </w:t>
      </w:r>
      <w:proofErr w:type="gramStart"/>
      <w:r w:rsidR="001337FF">
        <w:rPr>
          <w:rFonts w:ascii="Times New Roman" w:hAnsi="Times New Roman" w:cs="Times New Roman"/>
          <w:sz w:val="24"/>
          <w:szCs w:val="24"/>
        </w:rPr>
        <w:t>in light of the fact that</w:t>
      </w:r>
      <w:proofErr w:type="gramEnd"/>
      <w:r w:rsidR="001337FF">
        <w:rPr>
          <w:rFonts w:ascii="Times New Roman" w:hAnsi="Times New Roman" w:cs="Times New Roman"/>
          <w:sz w:val="24"/>
          <w:szCs w:val="24"/>
        </w:rPr>
        <w:t xml:space="preserve"> there is no standalone power greater than the state itself.</w:t>
      </w:r>
      <w:r w:rsidR="00EB61FB">
        <w:rPr>
          <w:rStyle w:val="FootnoteReference"/>
          <w:rFonts w:ascii="Times New Roman" w:hAnsi="Times New Roman" w:cs="Times New Roman"/>
          <w:sz w:val="24"/>
          <w:szCs w:val="24"/>
        </w:rPr>
        <w:footnoteReference w:id="6"/>
      </w:r>
      <w:r w:rsidR="001337FF">
        <w:rPr>
          <w:rFonts w:ascii="Times New Roman" w:hAnsi="Times New Roman" w:cs="Times New Roman"/>
          <w:sz w:val="24"/>
          <w:szCs w:val="24"/>
        </w:rPr>
        <w:t xml:space="preserve"> Although norms are not the answer to end human rights abuses, their role in shaping a globe that can reduce gender-based violence should not be undermined. </w:t>
      </w:r>
      <w:r w:rsidR="000C6647">
        <w:rPr>
          <w:rFonts w:ascii="Times New Roman" w:hAnsi="Times New Roman" w:cs="Times New Roman"/>
          <w:sz w:val="24"/>
          <w:szCs w:val="24"/>
        </w:rPr>
        <w:t xml:space="preserve">Establishing and then managing norms and discourse is a feat </w:t>
      </w:r>
      <w:proofErr w:type="gramStart"/>
      <w:r w:rsidR="000C6647">
        <w:rPr>
          <w:rFonts w:ascii="Times New Roman" w:hAnsi="Times New Roman" w:cs="Times New Roman"/>
          <w:sz w:val="24"/>
          <w:szCs w:val="24"/>
        </w:rPr>
        <w:t>in itself in</w:t>
      </w:r>
      <w:proofErr w:type="gramEnd"/>
      <w:r w:rsidR="000C6647">
        <w:rPr>
          <w:rFonts w:ascii="Times New Roman" w:hAnsi="Times New Roman" w:cs="Times New Roman"/>
          <w:sz w:val="24"/>
          <w:szCs w:val="24"/>
        </w:rPr>
        <w:t xml:space="preserve"> molding how the world at large sees a human rights issue like sexual violence. Only after institutional, normative, and </w:t>
      </w:r>
      <w:r w:rsidR="000C6647">
        <w:rPr>
          <w:rFonts w:ascii="Times New Roman" w:hAnsi="Times New Roman" w:cs="Times New Roman"/>
          <w:sz w:val="24"/>
          <w:szCs w:val="24"/>
        </w:rPr>
        <w:lastRenderedPageBreak/>
        <w:t>discursive human rights advocacy flourishes can we look towards practicing norm implementation</w:t>
      </w:r>
      <w:r w:rsidR="00EB61FB">
        <w:rPr>
          <w:rStyle w:val="FootnoteReference"/>
          <w:rFonts w:ascii="Times New Roman" w:hAnsi="Times New Roman" w:cs="Times New Roman"/>
          <w:sz w:val="24"/>
          <w:szCs w:val="24"/>
        </w:rPr>
        <w:footnoteReference w:id="7"/>
      </w:r>
      <w:r w:rsidR="000C6647">
        <w:rPr>
          <w:rFonts w:ascii="Times New Roman" w:hAnsi="Times New Roman" w:cs="Times New Roman"/>
          <w:sz w:val="24"/>
          <w:szCs w:val="24"/>
        </w:rPr>
        <w:t xml:space="preserve">, and now may be that time. </w:t>
      </w:r>
    </w:p>
    <w:p w14:paraId="735C3098" w14:textId="66139842" w:rsidR="001337FF" w:rsidRDefault="000C6647" w:rsidP="00B213BC">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Taking this step will require</w:t>
      </w:r>
      <w:r w:rsidR="00A81BCB">
        <w:rPr>
          <w:rFonts w:ascii="Times New Roman" w:hAnsi="Times New Roman" w:cs="Times New Roman"/>
          <w:sz w:val="24"/>
          <w:szCs w:val="24"/>
        </w:rPr>
        <w:t xml:space="preserve"> the continuation of tactics like naming and shaming, responsible rights talk</w:t>
      </w:r>
      <w:r w:rsidR="00EB61FB">
        <w:rPr>
          <w:rStyle w:val="FootnoteReference"/>
          <w:rFonts w:ascii="Times New Roman" w:hAnsi="Times New Roman" w:cs="Times New Roman"/>
          <w:sz w:val="24"/>
          <w:szCs w:val="24"/>
        </w:rPr>
        <w:footnoteReference w:id="8"/>
      </w:r>
      <w:r w:rsidR="00A81BCB">
        <w:rPr>
          <w:rFonts w:ascii="Times New Roman" w:hAnsi="Times New Roman" w:cs="Times New Roman"/>
          <w:sz w:val="24"/>
          <w:szCs w:val="24"/>
        </w:rPr>
        <w:t>, treaty writing, threats of foreign aid based on human rights performance, sanctions, and even prosecutions of war criminals. Both qualitative and quantitative sides of the literature agree that these methods benefit individuals to some degre</w:t>
      </w:r>
      <w:r w:rsidR="00380E24">
        <w:rPr>
          <w:rFonts w:ascii="Times New Roman" w:hAnsi="Times New Roman" w:cs="Times New Roman"/>
          <w:sz w:val="24"/>
          <w:szCs w:val="24"/>
        </w:rPr>
        <w:t>e, but no conclusions can be made</w:t>
      </w:r>
      <w:r w:rsidR="00A81BCB">
        <w:rPr>
          <w:rFonts w:ascii="Times New Roman" w:hAnsi="Times New Roman" w:cs="Times New Roman"/>
          <w:sz w:val="24"/>
          <w:szCs w:val="24"/>
        </w:rPr>
        <w:t xml:space="preserve"> until we get “better” data.</w:t>
      </w:r>
      <w:r w:rsidR="00EB61FB">
        <w:rPr>
          <w:rStyle w:val="FootnoteReference"/>
          <w:rFonts w:ascii="Times New Roman" w:hAnsi="Times New Roman" w:cs="Times New Roman"/>
          <w:sz w:val="24"/>
          <w:szCs w:val="24"/>
        </w:rPr>
        <w:footnoteReference w:id="9"/>
      </w:r>
    </w:p>
    <w:p w14:paraId="2D7988F6" w14:textId="79C0C83E" w:rsidR="00D82059" w:rsidRDefault="00380E24" w:rsidP="00B213BC">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A81BCB">
        <w:rPr>
          <w:rFonts w:ascii="Times New Roman" w:hAnsi="Times New Roman" w:cs="Times New Roman"/>
          <w:sz w:val="24"/>
          <w:szCs w:val="24"/>
        </w:rPr>
        <w:t>e must</w:t>
      </w:r>
      <w:r w:rsidR="00E054BF">
        <w:rPr>
          <w:rFonts w:ascii="Times New Roman" w:hAnsi="Times New Roman" w:cs="Times New Roman"/>
          <w:sz w:val="24"/>
          <w:szCs w:val="24"/>
        </w:rPr>
        <w:t xml:space="preserve"> maintain our institutions and norms that promote human rights while finding ways to implement them. The Rome Statutes</w:t>
      </w:r>
      <w:r>
        <w:rPr>
          <w:rFonts w:ascii="Times New Roman" w:hAnsi="Times New Roman" w:cs="Times New Roman"/>
          <w:sz w:val="24"/>
          <w:szCs w:val="24"/>
        </w:rPr>
        <w:t>,</w:t>
      </w:r>
      <w:r w:rsidR="00E054BF">
        <w:rPr>
          <w:rFonts w:ascii="Times New Roman" w:hAnsi="Times New Roman" w:cs="Times New Roman"/>
          <w:sz w:val="24"/>
          <w:szCs w:val="24"/>
        </w:rPr>
        <w:t xml:space="preserve"> which outlines the laws of war</w:t>
      </w:r>
      <w:r>
        <w:rPr>
          <w:rFonts w:ascii="Times New Roman" w:hAnsi="Times New Roman" w:cs="Times New Roman"/>
          <w:sz w:val="24"/>
          <w:szCs w:val="24"/>
        </w:rPr>
        <w:t>,</w:t>
      </w:r>
      <w:r w:rsidR="00E054BF">
        <w:rPr>
          <w:rFonts w:ascii="Times New Roman" w:hAnsi="Times New Roman" w:cs="Times New Roman"/>
          <w:sz w:val="24"/>
          <w:szCs w:val="24"/>
        </w:rPr>
        <w:t xml:space="preserve"> and introduction of the International Criminal Court (ICC) where international war criminals are tried, were an attempt to bridge this gap between norm creation and implementation. I do not want to diminish the importance or success of these momentous pillars for human rights and the protection of civilians, however, they are rooted in extrinsic reinforcement. The primary avenues through which we advocate on behalf of human rights are </w:t>
      </w:r>
      <w:r w:rsidR="004813AA">
        <w:rPr>
          <w:rFonts w:ascii="Times New Roman" w:hAnsi="Times New Roman" w:cs="Times New Roman"/>
          <w:sz w:val="24"/>
          <w:szCs w:val="24"/>
        </w:rPr>
        <w:t>rooted in punishment and reward mechanisms. Utilizing fields such as behavioral psychology and education in an interdisciplinary analysis of these tactics would show that intrinsic reinforcement is more productive and effective than extrinsic reinforcement when attainable.</w:t>
      </w:r>
      <w:r w:rsidR="00EB61FB">
        <w:rPr>
          <w:rStyle w:val="FootnoteReference"/>
          <w:rFonts w:ascii="Times New Roman" w:hAnsi="Times New Roman" w:cs="Times New Roman"/>
          <w:sz w:val="24"/>
          <w:szCs w:val="24"/>
        </w:rPr>
        <w:footnoteReference w:id="10"/>
      </w:r>
      <w:r w:rsidR="004813AA">
        <w:rPr>
          <w:rFonts w:ascii="Times New Roman" w:hAnsi="Times New Roman" w:cs="Times New Roman"/>
          <w:sz w:val="24"/>
          <w:szCs w:val="24"/>
        </w:rPr>
        <w:t xml:space="preserve"> </w:t>
      </w:r>
    </w:p>
    <w:p w14:paraId="1AABE0A5" w14:textId="5EB0409B" w:rsidR="00B213BC" w:rsidRDefault="004813AA" w:rsidP="00B213BC">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then have we approached human rights advocacy in a largely extrinsic motivational manner through rewarding good practices and punishing bad ones? For starters, it is our nature to punish and reward, it comes more naturally, and we tend to think it is rather effective. </w:t>
      </w:r>
      <w:r w:rsidR="00313AC4">
        <w:rPr>
          <w:rFonts w:ascii="Times New Roman" w:hAnsi="Times New Roman" w:cs="Times New Roman"/>
          <w:sz w:val="24"/>
          <w:szCs w:val="24"/>
        </w:rPr>
        <w:t>That said</w:t>
      </w:r>
      <w:r>
        <w:rPr>
          <w:rFonts w:ascii="Times New Roman" w:hAnsi="Times New Roman" w:cs="Times New Roman"/>
          <w:sz w:val="24"/>
          <w:szCs w:val="24"/>
        </w:rPr>
        <w:t xml:space="preserve">, </w:t>
      </w:r>
      <w:r>
        <w:rPr>
          <w:rFonts w:ascii="Times New Roman" w:hAnsi="Times New Roman" w:cs="Times New Roman"/>
          <w:sz w:val="24"/>
          <w:szCs w:val="24"/>
        </w:rPr>
        <w:lastRenderedPageBreak/>
        <w:t>we are using intrinsic motivators, just not enough. Resolutions 1888 and 1889 and the UN itself stands as an intrinsic reinforcer of peace and human rights</w:t>
      </w:r>
      <w:r w:rsidR="00D82059">
        <w:rPr>
          <w:rFonts w:ascii="Times New Roman" w:hAnsi="Times New Roman" w:cs="Times New Roman"/>
          <w:sz w:val="24"/>
          <w:szCs w:val="24"/>
        </w:rPr>
        <w:t xml:space="preserve"> because of states</w:t>
      </w:r>
      <w:r w:rsidR="00380E24">
        <w:rPr>
          <w:rFonts w:ascii="Times New Roman" w:hAnsi="Times New Roman" w:cs="Times New Roman"/>
          <w:sz w:val="24"/>
          <w:szCs w:val="24"/>
        </w:rPr>
        <w:t>’</w:t>
      </w:r>
      <w:r w:rsidR="00D82059">
        <w:rPr>
          <w:rFonts w:ascii="Times New Roman" w:hAnsi="Times New Roman" w:cs="Times New Roman"/>
          <w:sz w:val="24"/>
          <w:szCs w:val="24"/>
        </w:rPr>
        <w:t xml:space="preserve"> desirability to be </w:t>
      </w:r>
      <w:r w:rsidR="0063725D">
        <w:rPr>
          <w:rFonts w:ascii="Times New Roman" w:hAnsi="Times New Roman" w:cs="Times New Roman"/>
          <w:sz w:val="24"/>
          <w:szCs w:val="24"/>
        </w:rPr>
        <w:t>included</w:t>
      </w:r>
      <w:r w:rsidR="00D82059">
        <w:rPr>
          <w:rFonts w:ascii="Times New Roman" w:hAnsi="Times New Roman" w:cs="Times New Roman"/>
          <w:sz w:val="24"/>
          <w:szCs w:val="24"/>
        </w:rPr>
        <w:t xml:space="preserve"> and the image or creed it echoes around the globe. Therefore, we should begin by increasing the UN’s intrinsic reinforcement capabilities by mitigating the corruption within it. </w:t>
      </w:r>
    </w:p>
    <w:p w14:paraId="113E8B59" w14:textId="652DA638" w:rsidR="00FE478A" w:rsidRDefault="00D82059" w:rsidP="00B213BC">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 importantly, we must call on academics, legislators, and activists to create other means of norm implementation based in intrinsic reinforcement. Hoover-Green, a scholar on armed conflict at Drexel University, has bridged the divide between qualitative and quantitative literature and found an avenue through which we can employ intrinsic reinforcement to curb the amount of civilian violence inflicted by combatants.</w:t>
      </w:r>
      <w:r w:rsidR="00EB61FB">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BD6CF4">
        <w:rPr>
          <w:rFonts w:ascii="Times New Roman" w:hAnsi="Times New Roman" w:cs="Times New Roman"/>
          <w:sz w:val="24"/>
          <w:szCs w:val="24"/>
        </w:rPr>
        <w:t xml:space="preserve">If we can derive intrinsic reinforcement methods of combatant training from Hoover-Green’s research that can be replicated and distributed within future resolutions, treaties, and human rights organizations, it will be one of many steps towards </w:t>
      </w:r>
      <w:r w:rsidR="0063725D">
        <w:rPr>
          <w:rFonts w:ascii="Times New Roman" w:hAnsi="Times New Roman" w:cs="Times New Roman"/>
          <w:sz w:val="24"/>
          <w:szCs w:val="24"/>
        </w:rPr>
        <w:t>intrinsic</w:t>
      </w:r>
      <w:r w:rsidR="00380E24">
        <w:rPr>
          <w:rFonts w:ascii="Times New Roman" w:hAnsi="Times New Roman" w:cs="Times New Roman"/>
          <w:sz w:val="24"/>
          <w:szCs w:val="24"/>
        </w:rPr>
        <w:t xml:space="preserve"> </w:t>
      </w:r>
      <w:r w:rsidR="00BD6CF4">
        <w:rPr>
          <w:rFonts w:ascii="Times New Roman" w:hAnsi="Times New Roman" w:cs="Times New Roman"/>
          <w:sz w:val="24"/>
          <w:szCs w:val="24"/>
        </w:rPr>
        <w:t>norm implementation.</w:t>
      </w:r>
      <w:bookmarkEnd w:id="0"/>
    </w:p>
    <w:p w14:paraId="08364D77" w14:textId="473A3DCC" w:rsidR="00AD4A62" w:rsidRDefault="00AD4A62" w:rsidP="00AD4A62">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Word Count: 942</w:t>
      </w:r>
    </w:p>
    <w:sectPr w:rsidR="00AD4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85CC" w14:textId="77777777" w:rsidR="00CF5827" w:rsidRDefault="00CF5827" w:rsidP="00473B6D">
      <w:pPr>
        <w:spacing w:after="0" w:line="240" w:lineRule="auto"/>
      </w:pPr>
      <w:r>
        <w:separator/>
      </w:r>
    </w:p>
  </w:endnote>
  <w:endnote w:type="continuationSeparator" w:id="0">
    <w:p w14:paraId="5D0A10AF" w14:textId="77777777" w:rsidR="00CF5827" w:rsidRDefault="00CF5827" w:rsidP="0047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1F69" w14:textId="77777777" w:rsidR="00CF5827" w:rsidRDefault="00CF5827" w:rsidP="00473B6D">
      <w:pPr>
        <w:spacing w:after="0" w:line="240" w:lineRule="auto"/>
      </w:pPr>
      <w:r>
        <w:separator/>
      </w:r>
    </w:p>
  </w:footnote>
  <w:footnote w:type="continuationSeparator" w:id="0">
    <w:p w14:paraId="00D341FD" w14:textId="77777777" w:rsidR="00CF5827" w:rsidRDefault="00CF5827" w:rsidP="00473B6D">
      <w:pPr>
        <w:spacing w:after="0" w:line="240" w:lineRule="auto"/>
      </w:pPr>
      <w:r>
        <w:continuationSeparator/>
      </w:r>
    </w:p>
  </w:footnote>
  <w:footnote w:id="1">
    <w:p w14:paraId="02CB6907" w14:textId="27ECD6AE" w:rsidR="00313AC4" w:rsidRDefault="00313AC4">
      <w:pPr>
        <w:pStyle w:val="FootnoteText"/>
      </w:pPr>
      <w:r>
        <w:rPr>
          <w:rStyle w:val="FootnoteReference"/>
        </w:rPr>
        <w:footnoteRef/>
      </w:r>
      <w:r>
        <w:t xml:space="preserve"> </w:t>
      </w:r>
      <w:r w:rsidRPr="00313AC4">
        <w:rPr>
          <w:rFonts w:ascii="Times New Roman" w:hAnsi="Times New Roman" w:cs="Times New Roman"/>
        </w:rPr>
        <w:t>Uppsala University, The Uppsala Conflict and Data Program (UCDP), (Uppsala University, accessed March 21, 2018).</w:t>
      </w:r>
    </w:p>
  </w:footnote>
  <w:footnote w:id="2">
    <w:p w14:paraId="717396EF" w14:textId="75588E4D" w:rsidR="00313AC4" w:rsidRPr="00313AC4" w:rsidRDefault="00313AC4" w:rsidP="00313AC4">
      <w:pPr>
        <w:pStyle w:val="EndnoteText"/>
        <w:rPr>
          <w:rFonts w:ascii="Times New Roman" w:hAnsi="Times New Roman" w:cs="Times New Roman"/>
        </w:rPr>
      </w:pPr>
      <w:r>
        <w:rPr>
          <w:rStyle w:val="FootnoteReference"/>
        </w:rPr>
        <w:footnoteRef/>
      </w:r>
      <w:r>
        <w:t xml:space="preserve"> </w:t>
      </w:r>
      <w:r w:rsidRPr="00313AC4">
        <w:rPr>
          <w:rFonts w:ascii="Times New Roman" w:hAnsi="Times New Roman" w:cs="Times New Roman"/>
        </w:rPr>
        <w:t xml:space="preserve">UN General Assembly, </w:t>
      </w:r>
      <w:r w:rsidRPr="00313AC4">
        <w:rPr>
          <w:rFonts w:ascii="Times New Roman" w:hAnsi="Times New Roman" w:cs="Times New Roman"/>
          <w:i/>
        </w:rPr>
        <w:t>Rome Statute of the International Criminal Court (last amended 2010)</w:t>
      </w:r>
      <w:r w:rsidRPr="00313AC4">
        <w:rPr>
          <w:rFonts w:ascii="Times New Roman" w:hAnsi="Times New Roman" w:cs="Times New Roman"/>
        </w:rPr>
        <w:t>, (United Nations, UN General Assembly, 1998).</w:t>
      </w:r>
    </w:p>
  </w:footnote>
  <w:footnote w:id="3">
    <w:p w14:paraId="53BA4BB1" w14:textId="7F4ADB01" w:rsidR="00313AC4" w:rsidRPr="00313AC4" w:rsidRDefault="00313AC4" w:rsidP="00313AC4">
      <w:pPr>
        <w:pStyle w:val="EndnoteText"/>
        <w:rPr>
          <w:rFonts w:ascii="Times New Roman" w:hAnsi="Times New Roman" w:cs="Times New Roman"/>
          <w:bCs/>
          <w:i/>
        </w:rPr>
      </w:pPr>
      <w:r>
        <w:rPr>
          <w:rStyle w:val="FootnoteReference"/>
        </w:rPr>
        <w:footnoteRef/>
      </w:r>
      <w:r w:rsidRPr="00313AC4">
        <w:rPr>
          <w:rFonts w:ascii="Times New Roman" w:hAnsi="Times New Roman" w:cs="Times New Roman"/>
        </w:rPr>
        <w:t xml:space="preserve"> Emilie Hafner-Burton and James Ron, </w:t>
      </w:r>
      <w:r w:rsidRPr="00313AC4">
        <w:rPr>
          <w:rFonts w:ascii="Times New Roman" w:hAnsi="Times New Roman" w:cs="Times New Roman"/>
          <w:i/>
        </w:rPr>
        <w:t>Seeing Double:</w:t>
      </w:r>
      <w:r w:rsidRPr="00313AC4">
        <w:rPr>
          <w:rFonts w:ascii="Times New Roman" w:hAnsi="Times New Roman" w:cs="Times New Roman"/>
          <w:b/>
          <w:bCs/>
        </w:rPr>
        <w:t xml:space="preserve"> </w:t>
      </w:r>
      <w:r w:rsidRPr="00313AC4">
        <w:rPr>
          <w:rFonts w:ascii="Times New Roman" w:hAnsi="Times New Roman" w:cs="Times New Roman"/>
          <w:bCs/>
          <w:i/>
        </w:rPr>
        <w:t>Human Rights Impact through Qualitative and</w:t>
      </w:r>
    </w:p>
    <w:p w14:paraId="06E3FA90" w14:textId="421AB55A" w:rsidR="00313AC4" w:rsidRPr="00EB61FB" w:rsidRDefault="00313AC4" w:rsidP="00EB61FB">
      <w:pPr>
        <w:pStyle w:val="EndnoteText"/>
        <w:rPr>
          <w:rFonts w:ascii="Times New Roman" w:hAnsi="Times New Roman" w:cs="Times New Roman"/>
        </w:rPr>
      </w:pPr>
      <w:r w:rsidRPr="00313AC4">
        <w:rPr>
          <w:rFonts w:ascii="Times New Roman" w:hAnsi="Times New Roman" w:cs="Times New Roman"/>
          <w:bCs/>
          <w:i/>
        </w:rPr>
        <w:t>Quantitative Eyes</w:t>
      </w:r>
      <w:r w:rsidRPr="00313AC4">
        <w:rPr>
          <w:rFonts w:ascii="Times New Roman" w:hAnsi="Times New Roman" w:cs="Times New Roman"/>
        </w:rPr>
        <w:t>, (Cambridge, Cambridge University Press,</w:t>
      </w:r>
      <w:r w:rsidRPr="00313AC4">
        <w:rPr>
          <w:rFonts w:ascii="Times New Roman" w:hAnsi="Times New Roman" w:cs="Times New Roman"/>
          <w:i/>
        </w:rPr>
        <w:t xml:space="preserve"> </w:t>
      </w:r>
      <w:r w:rsidRPr="00313AC4">
        <w:rPr>
          <w:rFonts w:ascii="Times New Roman" w:hAnsi="Times New Roman" w:cs="Times New Roman"/>
        </w:rPr>
        <w:t>2009).</w:t>
      </w:r>
    </w:p>
  </w:footnote>
  <w:footnote w:id="4">
    <w:p w14:paraId="019EBF60" w14:textId="77777777" w:rsidR="00313AC4" w:rsidRPr="00313AC4" w:rsidRDefault="00313AC4" w:rsidP="00313AC4">
      <w:pPr>
        <w:pStyle w:val="EndnoteText"/>
        <w:rPr>
          <w:rFonts w:ascii="Times New Roman" w:hAnsi="Times New Roman" w:cs="Times New Roman"/>
          <w:i/>
        </w:rPr>
      </w:pPr>
      <w:r>
        <w:rPr>
          <w:rStyle w:val="FootnoteReference"/>
        </w:rPr>
        <w:footnoteRef/>
      </w:r>
      <w:r>
        <w:t xml:space="preserve"> </w:t>
      </w:r>
      <w:r w:rsidRPr="00313AC4">
        <w:rPr>
          <w:rFonts w:ascii="Times New Roman" w:hAnsi="Times New Roman" w:cs="Times New Roman"/>
        </w:rPr>
        <w:t xml:space="preserve">Dara Kay Cohen and Amelia Hoover-Green, </w:t>
      </w:r>
      <w:r w:rsidRPr="00313AC4">
        <w:rPr>
          <w:rFonts w:ascii="Times New Roman" w:hAnsi="Times New Roman" w:cs="Times New Roman"/>
          <w:i/>
        </w:rPr>
        <w:t>Dueling incentives: Sexual violence</w:t>
      </w:r>
    </w:p>
    <w:p w14:paraId="73971AF6" w14:textId="73814AAD" w:rsidR="00EB61FB" w:rsidRPr="00313AC4" w:rsidRDefault="00313AC4" w:rsidP="00EB61FB">
      <w:pPr>
        <w:pStyle w:val="EndnoteText"/>
        <w:rPr>
          <w:rFonts w:ascii="Times New Roman" w:hAnsi="Times New Roman" w:cs="Times New Roman"/>
          <w:i/>
        </w:rPr>
      </w:pPr>
      <w:r w:rsidRPr="00313AC4">
        <w:rPr>
          <w:rFonts w:ascii="Times New Roman" w:hAnsi="Times New Roman" w:cs="Times New Roman"/>
          <w:i/>
        </w:rPr>
        <w:t>in Liberia and the politics of human rights advocacy</w:t>
      </w:r>
      <w:r w:rsidRPr="00313AC4">
        <w:rPr>
          <w:rFonts w:ascii="Times New Roman" w:hAnsi="Times New Roman" w:cs="Times New Roman"/>
        </w:rPr>
        <w:t xml:space="preserve">, (California Berkeley, Sage Publications, 2012); Hafner-Burton and Ron, </w:t>
      </w:r>
      <w:r w:rsidRPr="00313AC4">
        <w:rPr>
          <w:rFonts w:ascii="Times New Roman" w:hAnsi="Times New Roman" w:cs="Times New Roman"/>
          <w:i/>
        </w:rPr>
        <w:t>Seeing Double</w:t>
      </w:r>
    </w:p>
    <w:p w14:paraId="06F234E6" w14:textId="2CE15E50" w:rsidR="00313AC4" w:rsidRPr="00313AC4" w:rsidRDefault="00313AC4" w:rsidP="00313AC4">
      <w:pPr>
        <w:pStyle w:val="EndnoteText"/>
        <w:rPr>
          <w:rFonts w:ascii="Times New Roman" w:hAnsi="Times New Roman" w:cs="Times New Roman"/>
        </w:rPr>
      </w:pPr>
      <w:r w:rsidRPr="00313AC4">
        <w:rPr>
          <w:rFonts w:ascii="Times New Roman" w:hAnsi="Times New Roman" w:cs="Times New Roman"/>
          <w:i/>
        </w:rPr>
        <w:t>of Westphalia</w:t>
      </w:r>
      <w:r w:rsidRPr="00313AC4">
        <w:rPr>
          <w:rFonts w:ascii="Times New Roman" w:hAnsi="Times New Roman" w:cs="Times New Roman"/>
        </w:rPr>
        <w:t>, 1648</w:t>
      </w:r>
    </w:p>
    <w:p w14:paraId="6824D880" w14:textId="2A663624" w:rsidR="00313AC4" w:rsidRPr="00EB61FB" w:rsidRDefault="00313AC4" w:rsidP="00EB61FB">
      <w:pPr>
        <w:pStyle w:val="EndnoteText"/>
        <w:rPr>
          <w:rFonts w:ascii="Times New Roman" w:hAnsi="Times New Roman" w:cs="Times New Roman"/>
        </w:rPr>
      </w:pPr>
      <w:r w:rsidRPr="00313AC4">
        <w:rPr>
          <w:rStyle w:val="EndnoteReference"/>
          <w:rFonts w:ascii="Times New Roman" w:hAnsi="Times New Roman" w:cs="Times New Roman"/>
        </w:rPr>
        <w:footnoteRef/>
      </w:r>
      <w:r w:rsidRPr="00313AC4">
        <w:rPr>
          <w:rFonts w:ascii="Times New Roman" w:hAnsi="Times New Roman" w:cs="Times New Roman"/>
        </w:rPr>
        <w:t xml:space="preserve"> Hafner-Burton and Ron, </w:t>
      </w:r>
      <w:r w:rsidRPr="00313AC4">
        <w:rPr>
          <w:rFonts w:ascii="Times New Roman" w:hAnsi="Times New Roman" w:cs="Times New Roman"/>
          <w:i/>
        </w:rPr>
        <w:t>Seeing Double</w:t>
      </w:r>
    </w:p>
  </w:footnote>
  <w:footnote w:id="5">
    <w:p w14:paraId="4100648F" w14:textId="0663451C" w:rsidR="00EB61FB" w:rsidRPr="00EB61FB" w:rsidRDefault="00EB61FB" w:rsidP="00EB61FB">
      <w:pPr>
        <w:pStyle w:val="EndnoteText"/>
        <w:rPr>
          <w:rFonts w:ascii="Times New Roman" w:hAnsi="Times New Roman" w:cs="Times New Roman"/>
        </w:rPr>
      </w:pPr>
      <w:r>
        <w:rPr>
          <w:rStyle w:val="FootnoteReference"/>
        </w:rPr>
        <w:footnoteRef/>
      </w:r>
      <w:r>
        <w:t xml:space="preserve"> </w:t>
      </w:r>
      <w:r w:rsidRPr="00313AC4">
        <w:rPr>
          <w:rFonts w:ascii="Times New Roman" w:hAnsi="Times New Roman" w:cs="Times New Roman"/>
        </w:rPr>
        <w:t xml:space="preserve">Hafner-Burton and Ron, </w:t>
      </w:r>
      <w:r w:rsidRPr="00313AC4">
        <w:rPr>
          <w:rFonts w:ascii="Times New Roman" w:hAnsi="Times New Roman" w:cs="Times New Roman"/>
          <w:i/>
        </w:rPr>
        <w:t>Seeing Double</w:t>
      </w:r>
      <w:r w:rsidRPr="00313AC4">
        <w:rPr>
          <w:rFonts w:ascii="Times New Roman" w:hAnsi="Times New Roman" w:cs="Times New Roman"/>
        </w:rPr>
        <w:t>, 2009.</w:t>
      </w:r>
    </w:p>
  </w:footnote>
  <w:footnote w:id="6">
    <w:p w14:paraId="597FBDFE" w14:textId="0F52AE41" w:rsidR="00EB61FB" w:rsidRPr="00EB61FB" w:rsidRDefault="00EB61FB" w:rsidP="00EB61FB">
      <w:pPr>
        <w:pStyle w:val="EndnoteText"/>
        <w:rPr>
          <w:rFonts w:ascii="Times New Roman" w:hAnsi="Times New Roman" w:cs="Times New Roman"/>
        </w:rPr>
      </w:pPr>
      <w:r>
        <w:rPr>
          <w:rStyle w:val="FootnoteReference"/>
        </w:rPr>
        <w:footnoteRef/>
      </w:r>
      <w:r>
        <w:t xml:space="preserve"> </w:t>
      </w:r>
      <w:r w:rsidRPr="00313AC4">
        <w:rPr>
          <w:rFonts w:ascii="Times New Roman" w:hAnsi="Times New Roman" w:cs="Times New Roman"/>
        </w:rPr>
        <w:t xml:space="preserve">Treaty of Westphalia, </w:t>
      </w:r>
      <w:r w:rsidRPr="00313AC4">
        <w:rPr>
          <w:rFonts w:ascii="Times New Roman" w:hAnsi="Times New Roman" w:cs="Times New Roman"/>
          <w:i/>
        </w:rPr>
        <w:t>Peace of Westphalia</w:t>
      </w:r>
      <w:r w:rsidRPr="00313AC4">
        <w:rPr>
          <w:rFonts w:ascii="Times New Roman" w:hAnsi="Times New Roman" w:cs="Times New Roman"/>
        </w:rPr>
        <w:t>, 1648</w:t>
      </w:r>
    </w:p>
    <w:p w14:paraId="66838589" w14:textId="23EBB765" w:rsidR="00EB61FB" w:rsidRDefault="00EB61FB" w:rsidP="00EB61FB">
      <w:pPr>
        <w:pStyle w:val="FootnoteText"/>
      </w:pPr>
    </w:p>
  </w:footnote>
  <w:footnote w:id="7">
    <w:p w14:paraId="774C05C4" w14:textId="0663FC7B" w:rsidR="00EB61FB" w:rsidRPr="00EB61FB" w:rsidRDefault="00EB61FB" w:rsidP="00EB61FB">
      <w:pPr>
        <w:pStyle w:val="EndnoteText"/>
        <w:rPr>
          <w:rFonts w:ascii="Times New Roman" w:hAnsi="Times New Roman" w:cs="Times New Roman"/>
        </w:rPr>
      </w:pPr>
      <w:r>
        <w:rPr>
          <w:rStyle w:val="FootnoteReference"/>
        </w:rPr>
        <w:footnoteRef/>
      </w:r>
      <w:r>
        <w:t xml:space="preserve"> </w:t>
      </w:r>
      <w:r w:rsidRPr="00313AC4">
        <w:rPr>
          <w:rFonts w:ascii="Times New Roman" w:hAnsi="Times New Roman" w:cs="Times New Roman"/>
        </w:rPr>
        <w:t xml:space="preserve">Hafner-Burton and Ron, </w:t>
      </w:r>
      <w:r w:rsidRPr="00313AC4">
        <w:rPr>
          <w:rFonts w:ascii="Times New Roman" w:hAnsi="Times New Roman" w:cs="Times New Roman"/>
          <w:i/>
        </w:rPr>
        <w:t>Seeing Double</w:t>
      </w:r>
    </w:p>
  </w:footnote>
  <w:footnote w:id="8">
    <w:p w14:paraId="2CE9F72C" w14:textId="5427653F" w:rsidR="00EB61FB" w:rsidRPr="00EB61FB" w:rsidRDefault="00EB61FB" w:rsidP="00EB61FB">
      <w:pPr>
        <w:pStyle w:val="EndnoteText"/>
        <w:rPr>
          <w:rFonts w:ascii="Times New Roman" w:hAnsi="Times New Roman" w:cs="Times New Roman"/>
        </w:rPr>
      </w:pPr>
      <w:r>
        <w:rPr>
          <w:rStyle w:val="FootnoteReference"/>
        </w:rPr>
        <w:footnoteRef/>
      </w:r>
      <w:r>
        <w:t xml:space="preserve"> </w:t>
      </w:r>
      <w:r w:rsidRPr="00313AC4">
        <w:rPr>
          <w:rFonts w:ascii="Times New Roman" w:hAnsi="Times New Roman" w:cs="Times New Roman"/>
        </w:rPr>
        <w:t xml:space="preserve">Cohen and Hoover-Green, </w:t>
      </w:r>
      <w:r w:rsidRPr="00313AC4">
        <w:rPr>
          <w:rFonts w:ascii="Times New Roman" w:hAnsi="Times New Roman" w:cs="Times New Roman"/>
          <w:i/>
        </w:rPr>
        <w:t>Dueling incentives</w:t>
      </w:r>
      <w:r w:rsidRPr="00313AC4">
        <w:rPr>
          <w:rFonts w:ascii="Times New Roman" w:hAnsi="Times New Roman" w:cs="Times New Roman"/>
        </w:rPr>
        <w:t>, (California Berkeley, Sage Publications, 2012)</w:t>
      </w:r>
    </w:p>
  </w:footnote>
  <w:footnote w:id="9">
    <w:p w14:paraId="18C51164" w14:textId="17FE4B09" w:rsidR="00EB61FB" w:rsidRPr="00EB61FB" w:rsidRDefault="00EB61FB" w:rsidP="00EB61FB">
      <w:pPr>
        <w:pStyle w:val="EndnoteText"/>
        <w:rPr>
          <w:rFonts w:ascii="Times New Roman" w:hAnsi="Times New Roman" w:cs="Times New Roman"/>
        </w:rPr>
      </w:pPr>
      <w:r>
        <w:rPr>
          <w:rStyle w:val="FootnoteReference"/>
        </w:rPr>
        <w:footnoteRef/>
      </w:r>
      <w:r>
        <w:t xml:space="preserve"> </w:t>
      </w:r>
      <w:r w:rsidRPr="00313AC4">
        <w:rPr>
          <w:rFonts w:ascii="Times New Roman" w:hAnsi="Times New Roman" w:cs="Times New Roman"/>
        </w:rPr>
        <w:t xml:space="preserve">Hafner-Burton and Ron, </w:t>
      </w:r>
      <w:r w:rsidRPr="00313AC4">
        <w:rPr>
          <w:rFonts w:ascii="Times New Roman" w:hAnsi="Times New Roman" w:cs="Times New Roman"/>
          <w:i/>
        </w:rPr>
        <w:t>Seeing Double</w:t>
      </w:r>
    </w:p>
  </w:footnote>
  <w:footnote w:id="10">
    <w:p w14:paraId="73CEE89C" w14:textId="10F38EF4" w:rsidR="00EB61FB" w:rsidRPr="00EB61FB" w:rsidRDefault="00EB61FB" w:rsidP="00EB61FB">
      <w:pPr>
        <w:pStyle w:val="EndnoteText"/>
        <w:rPr>
          <w:rFonts w:ascii="Times New Roman" w:hAnsi="Times New Roman" w:cs="Times New Roman"/>
        </w:rPr>
      </w:pPr>
      <w:r>
        <w:rPr>
          <w:rStyle w:val="FootnoteReference"/>
        </w:rPr>
        <w:footnoteRef/>
      </w:r>
      <w:r>
        <w:t xml:space="preserve"> </w:t>
      </w:r>
      <w:r w:rsidRPr="00313AC4">
        <w:rPr>
          <w:rFonts w:ascii="Times New Roman" w:hAnsi="Times New Roman" w:cs="Times New Roman"/>
        </w:rPr>
        <w:t xml:space="preserve">Amelia Hoover-Green, </w:t>
      </w:r>
      <w:proofErr w:type="gramStart"/>
      <w:r w:rsidRPr="00313AC4">
        <w:rPr>
          <w:rFonts w:ascii="Times New Roman" w:hAnsi="Times New Roman" w:cs="Times New Roman"/>
          <w:i/>
        </w:rPr>
        <w:t>The</w:t>
      </w:r>
      <w:proofErr w:type="gramEnd"/>
      <w:r w:rsidRPr="00313AC4">
        <w:rPr>
          <w:rFonts w:ascii="Times New Roman" w:hAnsi="Times New Roman" w:cs="Times New Roman"/>
          <w:i/>
        </w:rPr>
        <w:t xml:space="preserve"> commander’s dilemma: Creating and controlling armed group violence</w:t>
      </w:r>
      <w:r w:rsidRPr="00313AC4">
        <w:rPr>
          <w:rFonts w:ascii="Times New Roman" w:hAnsi="Times New Roman" w:cs="Times New Roman"/>
        </w:rPr>
        <w:t>, (California Berkeley, Sage Publications, 2016).</w:t>
      </w:r>
    </w:p>
  </w:footnote>
  <w:footnote w:id="11">
    <w:p w14:paraId="4DA45D18" w14:textId="61835788" w:rsidR="00EB61FB" w:rsidRPr="00EB61FB" w:rsidRDefault="00EB61FB" w:rsidP="00EB61FB">
      <w:pPr>
        <w:pStyle w:val="EndnoteText"/>
        <w:rPr>
          <w:rFonts w:ascii="Times New Roman" w:hAnsi="Times New Roman" w:cs="Times New Roman"/>
        </w:rPr>
      </w:pPr>
      <w:r>
        <w:rPr>
          <w:rStyle w:val="FootnoteReference"/>
        </w:rPr>
        <w:footnoteRef/>
      </w:r>
      <w:r>
        <w:rPr>
          <w:rFonts w:ascii="Times New Roman" w:hAnsi="Times New Roman" w:cs="Times New Roman"/>
        </w:rPr>
        <w:t xml:space="preserve"> </w:t>
      </w:r>
      <w:r w:rsidRPr="00313AC4">
        <w:rPr>
          <w:rFonts w:ascii="Times New Roman" w:hAnsi="Times New Roman" w:cs="Times New Roman"/>
        </w:rPr>
        <w:t xml:space="preserve">Hoover-Green, </w:t>
      </w:r>
      <w:r w:rsidRPr="00313AC4">
        <w:rPr>
          <w:rFonts w:ascii="Times New Roman" w:hAnsi="Times New Roman" w:cs="Times New Roman"/>
          <w:i/>
        </w:rPr>
        <w:t>The commander’s dilemma</w:t>
      </w:r>
      <w:r w:rsidRPr="00313AC4">
        <w:rPr>
          <w:rFonts w:ascii="Times New Roman" w:hAnsi="Times New Roman" w:cs="Times New Roman"/>
        </w:rPr>
        <w:t xml:space="preserve"> (California Berkeley, Sage Publications,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8C"/>
    <w:rsid w:val="00041DA5"/>
    <w:rsid w:val="000C6647"/>
    <w:rsid w:val="001337FF"/>
    <w:rsid w:val="001A52A8"/>
    <w:rsid w:val="002F7A9D"/>
    <w:rsid w:val="00313AC4"/>
    <w:rsid w:val="00380E24"/>
    <w:rsid w:val="00473B6D"/>
    <w:rsid w:val="004813AA"/>
    <w:rsid w:val="00513B7E"/>
    <w:rsid w:val="0059562C"/>
    <w:rsid w:val="005C539B"/>
    <w:rsid w:val="005E40C4"/>
    <w:rsid w:val="00632053"/>
    <w:rsid w:val="0063725D"/>
    <w:rsid w:val="00832A66"/>
    <w:rsid w:val="00855FD0"/>
    <w:rsid w:val="009161EF"/>
    <w:rsid w:val="00946A8C"/>
    <w:rsid w:val="00955D2A"/>
    <w:rsid w:val="00992B51"/>
    <w:rsid w:val="00A81BCB"/>
    <w:rsid w:val="00AD4A62"/>
    <w:rsid w:val="00B20C1C"/>
    <w:rsid w:val="00B213BC"/>
    <w:rsid w:val="00B22612"/>
    <w:rsid w:val="00B36BEF"/>
    <w:rsid w:val="00B83DDA"/>
    <w:rsid w:val="00BD6CF4"/>
    <w:rsid w:val="00CF5827"/>
    <w:rsid w:val="00D002F9"/>
    <w:rsid w:val="00D25EBE"/>
    <w:rsid w:val="00D82059"/>
    <w:rsid w:val="00E04F55"/>
    <w:rsid w:val="00E054BF"/>
    <w:rsid w:val="00EB61FB"/>
    <w:rsid w:val="00FE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ABE8"/>
  <w15:chartTrackingRefBased/>
  <w15:docId w15:val="{52C4347E-6E1C-42FE-B5B3-B7590D8A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FE47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E478A"/>
    <w:rPr>
      <w:rFonts w:asciiTheme="majorHAnsi" w:eastAsiaTheme="majorEastAsia" w:hAnsiTheme="majorHAnsi" w:cstheme="majorBidi"/>
      <w:color w:val="2F5496" w:themeColor="accent1" w:themeShade="BF"/>
    </w:rPr>
  </w:style>
  <w:style w:type="paragraph" w:styleId="EndnoteText">
    <w:name w:val="endnote text"/>
    <w:basedOn w:val="Normal"/>
    <w:link w:val="EndnoteTextChar"/>
    <w:uiPriority w:val="99"/>
    <w:unhideWhenUsed/>
    <w:rsid w:val="00473B6D"/>
    <w:pPr>
      <w:spacing w:after="0" w:line="240" w:lineRule="auto"/>
    </w:pPr>
    <w:rPr>
      <w:sz w:val="20"/>
      <w:szCs w:val="20"/>
    </w:rPr>
  </w:style>
  <w:style w:type="character" w:customStyle="1" w:styleId="EndnoteTextChar">
    <w:name w:val="Endnote Text Char"/>
    <w:basedOn w:val="DefaultParagraphFont"/>
    <w:link w:val="EndnoteText"/>
    <w:uiPriority w:val="99"/>
    <w:rsid w:val="00473B6D"/>
    <w:rPr>
      <w:sz w:val="20"/>
      <w:szCs w:val="20"/>
    </w:rPr>
  </w:style>
  <w:style w:type="character" w:styleId="EndnoteReference">
    <w:name w:val="endnote reference"/>
    <w:basedOn w:val="DefaultParagraphFont"/>
    <w:uiPriority w:val="99"/>
    <w:semiHidden/>
    <w:unhideWhenUsed/>
    <w:rsid w:val="00473B6D"/>
    <w:rPr>
      <w:vertAlign w:val="superscript"/>
    </w:rPr>
  </w:style>
  <w:style w:type="paragraph" w:styleId="FootnoteText">
    <w:name w:val="footnote text"/>
    <w:basedOn w:val="Normal"/>
    <w:link w:val="FootnoteTextChar"/>
    <w:uiPriority w:val="99"/>
    <w:semiHidden/>
    <w:unhideWhenUsed/>
    <w:rsid w:val="00313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AC4"/>
    <w:rPr>
      <w:sz w:val="20"/>
      <w:szCs w:val="20"/>
    </w:rPr>
  </w:style>
  <w:style w:type="character" w:styleId="FootnoteReference">
    <w:name w:val="footnote reference"/>
    <w:basedOn w:val="DefaultParagraphFont"/>
    <w:uiPriority w:val="99"/>
    <w:semiHidden/>
    <w:unhideWhenUsed/>
    <w:rsid w:val="00313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3B83-0B72-44FB-8391-8C43B3A6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Peterson</dc:creator>
  <cp:keywords/>
  <dc:description/>
  <cp:lastModifiedBy>Dakota Peterson</cp:lastModifiedBy>
  <cp:revision>3</cp:revision>
  <dcterms:created xsi:type="dcterms:W3CDTF">2018-03-22T18:24:00Z</dcterms:created>
  <dcterms:modified xsi:type="dcterms:W3CDTF">2022-10-19T23:45:00Z</dcterms:modified>
</cp:coreProperties>
</file>